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B" w:rsidRDefault="007453CB">
      <w:pPr>
        <w:jc w:val="center"/>
        <w:rPr>
          <w:rFonts w:ascii="宋体" w:eastAsia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概率论与数理统计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042"/>
        <w:gridCol w:w="227"/>
        <w:gridCol w:w="630"/>
        <w:gridCol w:w="1045"/>
        <w:gridCol w:w="2428"/>
        <w:gridCol w:w="412"/>
        <w:gridCol w:w="1215"/>
        <w:gridCol w:w="1899"/>
      </w:tblGrid>
      <w:tr w:rsidR="007453CB">
        <w:trPr>
          <w:trHeight w:val="340"/>
          <w:jc w:val="center"/>
        </w:trPr>
        <w:tc>
          <w:tcPr>
            <w:tcW w:w="3447" w:type="dxa"/>
            <w:gridSpan w:val="5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</w:t>
            </w:r>
          </w:p>
        </w:tc>
        <w:tc>
          <w:tcPr>
            <w:tcW w:w="5954" w:type="dxa"/>
            <w:gridSpan w:val="4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E65C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/>
                <w:sz w:val="21"/>
                <w:szCs w:val="21"/>
              </w:rPr>
              <w:t>Probability</w:t>
            </w:r>
            <w:proofErr w:type="spellEnd"/>
            <w:r>
              <w:rPr>
                <w:rFonts w:ascii="宋体" w:hAnsi="宋体"/>
                <w:sz w:val="21"/>
                <w:szCs w:val="21"/>
              </w:rPr>
              <w:t xml:space="preserve"> Theory and Mathematical Statistics</w:t>
            </w:r>
          </w:p>
        </w:tc>
      </w:tr>
      <w:tr w:rsidR="007453CB">
        <w:trPr>
          <w:trHeight w:val="340"/>
          <w:jc w:val="center"/>
        </w:trPr>
        <w:tc>
          <w:tcPr>
            <w:tcW w:w="3447" w:type="dxa"/>
            <w:gridSpan w:val="5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学分：</w:t>
            </w:r>
            <w:r w:rsidR="00E65C8E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54/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/3</w:t>
            </w:r>
          </w:p>
        </w:tc>
        <w:tc>
          <w:tcPr>
            <w:tcW w:w="5954" w:type="dxa"/>
            <w:gridSpan w:val="4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7453CB">
        <w:trPr>
          <w:trHeight w:val="340"/>
          <w:jc w:val="center"/>
        </w:trPr>
        <w:tc>
          <w:tcPr>
            <w:tcW w:w="3447" w:type="dxa"/>
            <w:gridSpan w:val="5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5818D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高等数学</w:t>
            </w:r>
            <w:r w:rsidR="00AC347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、线性代数</w:t>
            </w:r>
          </w:p>
        </w:tc>
        <w:tc>
          <w:tcPr>
            <w:tcW w:w="5954" w:type="dxa"/>
            <w:gridSpan w:val="4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453CB">
        <w:trPr>
          <w:trHeight w:val="340"/>
          <w:jc w:val="center"/>
        </w:trPr>
        <w:tc>
          <w:tcPr>
            <w:tcW w:w="3447" w:type="dxa"/>
            <w:gridSpan w:val="5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1-18周</w:t>
            </w:r>
            <w:r w:rsidR="00380BE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,周一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5、6、7节</w:t>
            </w:r>
          </w:p>
        </w:tc>
        <w:tc>
          <w:tcPr>
            <w:tcW w:w="5954" w:type="dxa"/>
            <w:gridSpan w:val="4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6F201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Pr="00E65C8E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380BEE" w:rsidRPr="00380B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15级</w:t>
            </w:r>
            <w:r w:rsidR="00E65C8E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能源1、2、3班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Default="007453CB" w:rsidP="00E65C8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</w:t>
            </w:r>
            <w:r w:rsidR="00E65C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安全学院数学与数据科学系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E65C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葛浩 讲师</w:t>
            </w:r>
          </w:p>
        </w:tc>
      </w:tr>
      <w:tr w:rsidR="007453CB">
        <w:trPr>
          <w:trHeight w:val="340"/>
          <w:jc w:val="center"/>
        </w:trPr>
        <w:tc>
          <w:tcPr>
            <w:tcW w:w="3447" w:type="dxa"/>
            <w:gridSpan w:val="5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13650308524</w:t>
            </w:r>
            <w:r w:rsidR="00BD4BE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（短号79608）</w:t>
            </w:r>
          </w:p>
        </w:tc>
        <w:tc>
          <w:tcPr>
            <w:tcW w:w="5954" w:type="dxa"/>
            <w:gridSpan w:val="4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Email:</w:t>
            </w:r>
            <w:r w:rsidR="00E65C8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719432749@qq.com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Default="007453CB" w:rsidP="00380BE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380BEE" w:rsidRPr="00380BEE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1.每次上课前</w:t>
            </w:r>
            <w:r w:rsidR="00380BEE" w:rsidRPr="00380BE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10分钟</w:t>
            </w:r>
            <w:r w:rsidR="00380BEE" w:rsidRPr="00380BEE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、课间和课后，采用一对一的问答方式；2.每次发放作业时，</w:t>
            </w:r>
            <w:r w:rsidR="00380BEE" w:rsidRPr="00380BE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如作业中存在较普遍的问题，</w:t>
            </w:r>
            <w:r w:rsidR="00380BEE" w:rsidRPr="00380BEE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采用集中讲解方式</w:t>
            </w:r>
            <w:r w:rsidR="00380BEE" w:rsidRPr="00380BE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；3.采用QQ等方式在网上答疑；4.课程内容结束后安排一至两次集中答疑.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Pr="00AC3473" w:rsidRDefault="007453CB">
            <w:pPr>
              <w:tabs>
                <w:tab w:val="left" w:pos="1440"/>
              </w:tabs>
              <w:spacing w:line="40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《概率论与数理统计》，张忠志等编写，国防科技大学出版社，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2015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年出版</w:t>
            </w:r>
          </w:p>
          <w:p w:rsidR="007453CB" w:rsidRPr="00AC3473" w:rsidRDefault="007453C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盛骤、谢式千、潘承毅．《概率论与数理统计》．高等教育出版社，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2008.6</w:t>
            </w:r>
          </w:p>
          <w:p w:rsidR="007453CB" w:rsidRPr="00AC3473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proofErr w:type="gramStart"/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吴赣昌</w:t>
            </w:r>
            <w:proofErr w:type="gramEnd"/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概率论与数理统计（理工类）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中国人民大学出版社，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2011.8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Pr="00AC3473" w:rsidRDefault="007453C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课程简介：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 w:rsidR="005818DD" w:rsidTr="005D1896">
        <w:trPr>
          <w:trHeight w:val="340"/>
          <w:jc w:val="center"/>
        </w:trPr>
        <w:tc>
          <w:tcPr>
            <w:tcW w:w="9401" w:type="dxa"/>
            <w:gridSpan w:val="9"/>
          </w:tcPr>
          <w:tbl>
            <w:tblPr>
              <w:tblW w:w="94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65"/>
              <w:gridCol w:w="4636"/>
            </w:tblGrid>
            <w:tr w:rsidR="005818DD" w:rsidRPr="00401790" w:rsidTr="00EF0634">
              <w:trPr>
                <w:trHeight w:val="2542"/>
                <w:jc w:val="center"/>
              </w:trPr>
              <w:tc>
                <w:tcPr>
                  <w:tcW w:w="4765" w:type="dxa"/>
                </w:tcPr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after="0" w:line="360" w:lineRule="exact"/>
                    <w:outlineLvl w:val="0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课程教学目标：</w:t>
                  </w:r>
                </w:p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after="0" w:line="360" w:lineRule="exact"/>
                    <w:ind w:firstLineChars="200" w:firstLine="422"/>
                    <w:outlineLvl w:val="0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1.</w:t>
                  </w:r>
                  <w:r w:rsidRPr="00401790">
                    <w:rPr>
                      <w:rFonts w:ascii="宋体" w:eastAsia="宋体" w:hAnsi="宋体" w:hint="eastAsia"/>
                      <w:sz w:val="21"/>
                      <w:szCs w:val="21"/>
                      <w:lang w:eastAsia="zh-CN"/>
                    </w:rPr>
                    <w:t>通过本课程的学习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，为后继课程提供必需的基础数学知识。（目标层次：综合）</w:t>
                  </w:r>
                </w:p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after="0" w:line="360" w:lineRule="exact"/>
                    <w:ind w:firstLineChars="200" w:firstLine="422"/>
                    <w:outlineLvl w:val="0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2.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逐步提高学生的数学素养、数学思维能力和应用数学的能力。（目标层次：理解、运用、分析）</w:t>
                  </w:r>
                </w:p>
                <w:p w:rsidR="005818DD" w:rsidRPr="00401790" w:rsidRDefault="005818DD" w:rsidP="00EF0634">
                  <w:pPr>
                    <w:spacing w:after="0" w:line="360" w:lineRule="exact"/>
                    <w:ind w:firstLineChars="200" w:firstLine="422"/>
                    <w:rPr>
                      <w:rFonts w:eastAsia="宋体" w:cs="宋体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3.</w:t>
                  </w:r>
                  <w:r w:rsidRPr="00401790">
                    <w:rPr>
                      <w:rFonts w:eastAsia="宋体" w:cs="宋体" w:hint="eastAsia"/>
                      <w:sz w:val="21"/>
                      <w:szCs w:val="21"/>
                      <w:lang w:eastAsia="zh-CN"/>
                    </w:rPr>
                    <w:t>逐步培养学生的抽象思维能力、逻辑推理能力和自学能力。（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目标层次：</w:t>
                  </w:r>
                  <w:r w:rsidRPr="00401790">
                    <w:rPr>
                      <w:rFonts w:eastAsia="宋体" w:cs="宋体" w:hint="eastAsia"/>
                      <w:sz w:val="21"/>
                      <w:szCs w:val="21"/>
                      <w:lang w:eastAsia="zh-CN"/>
                    </w:rPr>
                    <w:t>运用、分析）</w:t>
                  </w:r>
                </w:p>
                <w:p w:rsidR="005818DD" w:rsidRPr="00401790" w:rsidRDefault="005818DD" w:rsidP="00EF0634">
                  <w:pPr>
                    <w:spacing w:after="0" w:line="360" w:lineRule="exact"/>
                    <w:ind w:firstLineChars="200" w:firstLine="422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4.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传授数学思想，培养学生的创新意识。（目标层次：理解、运用）</w:t>
                  </w:r>
                </w:p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after="0" w:line="360" w:lineRule="exact"/>
                    <w:ind w:firstLineChars="200" w:firstLine="422"/>
                    <w:outlineLvl w:val="0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5.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培养学生综合运用所学知识分析</w:t>
                  </w:r>
                  <w:r w:rsidRPr="00401790">
                    <w:rPr>
                      <w:rFonts w:eastAsia="宋体" w:cs="宋体" w:hint="eastAsia"/>
                      <w:sz w:val="21"/>
                      <w:szCs w:val="21"/>
                      <w:lang w:eastAsia="zh-CN"/>
                    </w:rPr>
                    <w:t>问题</w:t>
                  </w:r>
                  <w:r w:rsidRPr="00401790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lang w:eastAsia="zh-CN"/>
                    </w:rPr>
                    <w:t>和解决问题的能力。（目标层次：运用、综合、评价）</w:t>
                  </w:r>
                </w:p>
                <w:p w:rsidR="005818DD" w:rsidRPr="00401790" w:rsidRDefault="005818DD" w:rsidP="00EF0634">
                  <w:pPr>
                    <w:spacing w:after="0" w:line="360" w:lineRule="exact"/>
                    <w:ind w:firstLineChars="200" w:firstLine="422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636" w:type="dxa"/>
                </w:tcPr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after="0" w:line="360" w:lineRule="exact"/>
                    <w:outlineLvl w:val="0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本课程</w:t>
                  </w:r>
                  <w:r w:rsidRPr="00401790"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  <w:t>与学生核心能力培养之间的关联</w:t>
                  </w: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(授课对象为理工科专业学生的课程填写此栏</w:t>
                  </w:r>
                  <w:r w:rsidRPr="00401790"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  <w:t>）：</w:t>
                  </w:r>
                </w:p>
                <w:p w:rsidR="005818DD" w:rsidRPr="00401790" w:rsidRDefault="005818DD" w:rsidP="00EF0634">
                  <w:pPr>
                    <w:tabs>
                      <w:tab w:val="left" w:pos="1440"/>
                    </w:tabs>
                    <w:spacing w:line="400" w:lineRule="exact"/>
                    <w:outlineLvl w:val="0"/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hAnsi="宋体"/>
                      <w:lang w:eastAsia="zh-CN"/>
                    </w:rPr>
                    <w:t>■</w:t>
                  </w: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核心能力</w:t>
                  </w:r>
                  <w:r w:rsidRPr="00401790"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  <w:t>1</w:t>
                  </w:r>
                  <w:r w:rsidRPr="00401790">
                    <w:rPr>
                      <w:rFonts w:ascii="宋体" w:eastAsia="宋体" w:hAnsi="宋体" w:cs="Arial"/>
                      <w:b/>
                      <w:sz w:val="21"/>
                      <w:szCs w:val="21"/>
                      <w:lang w:eastAsia="zh-CN"/>
                    </w:rPr>
                    <w:t>.</w:t>
                  </w:r>
                  <w:r w:rsidRPr="004017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t xml:space="preserve">掌握并能应用与本专业相关的数学、物理、力学、材料、传热、制冷、控制等工程科学基础知识； </w:t>
                  </w:r>
                  <w:r w:rsidRPr="00401790"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5818DD" w:rsidRPr="00401790" w:rsidRDefault="005818DD" w:rsidP="00EF0634">
                  <w:pPr>
                    <w:wordWrap w:val="0"/>
                    <w:spacing w:before="50" w:after="50" w:line="360" w:lineRule="exact"/>
                    <w:ind w:left="51" w:right="51"/>
                    <w:jc w:val="left"/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□核心能力2</w:t>
                  </w:r>
                  <w:r w:rsidRPr="00401790">
                    <w:rPr>
                      <w:rFonts w:ascii="宋体" w:eastAsia="宋体" w:hAnsi="宋体" w:cs="Arial"/>
                      <w:b/>
                      <w:sz w:val="21"/>
                      <w:szCs w:val="21"/>
                      <w:lang w:eastAsia="zh-CN"/>
                    </w:rPr>
                    <w:t>.</w:t>
                  </w:r>
                  <w:r w:rsidRPr="004017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t xml:space="preserve"> 具有专门针对能源动力系统提出、分析及解决问题的能力，具有适应本专业要求的个人能力和专业素质，能进行能源新产品和新系统的设计与开发、运行维护以及相关制造，具有集成创新的能力； </w:t>
                  </w:r>
                  <w:r w:rsidRPr="00401790"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5818DD" w:rsidRPr="00401790" w:rsidRDefault="005818DD" w:rsidP="00EF0634">
                  <w:pPr>
                    <w:spacing w:after="0" w:line="360" w:lineRule="exact"/>
                    <w:ind w:left="51" w:right="51"/>
                    <w:jc w:val="left"/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□核心能力3</w:t>
                  </w:r>
                  <w:r w:rsidRPr="00401790">
                    <w:rPr>
                      <w:rFonts w:ascii="宋体" w:eastAsia="宋体" w:hAnsi="宋体" w:cs="Arial"/>
                      <w:b/>
                      <w:sz w:val="21"/>
                      <w:szCs w:val="21"/>
                      <w:lang w:eastAsia="zh-CN"/>
                    </w:rPr>
                    <w:t>.</w:t>
                  </w:r>
                  <w:r w:rsidRPr="004017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t>了解能源生产、转化和利用的行业需求动态，熟悉能源高效转化和利用技术的理论前沿和应用背景，贯彻执行节能减排的方针政</w:t>
                  </w:r>
                  <w:r w:rsidRPr="004017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lastRenderedPageBreak/>
                    <w:t>策和技术路线；</w:t>
                  </w:r>
                </w:p>
                <w:p w:rsidR="005818DD" w:rsidRPr="00401790" w:rsidRDefault="005818DD" w:rsidP="00EF0634">
                  <w:pPr>
                    <w:wordWrap w:val="0"/>
                    <w:spacing w:before="50" w:after="50" w:line="360" w:lineRule="exact"/>
                    <w:ind w:left="51" w:right="51"/>
                    <w:jc w:val="left"/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</w:pPr>
                  <w:r w:rsidRPr="00401790">
                    <w:rPr>
                      <w:rFonts w:ascii="宋体" w:eastAsia="宋体" w:hAnsi="宋体" w:hint="eastAsia"/>
                      <w:b/>
                      <w:sz w:val="21"/>
                      <w:szCs w:val="21"/>
                      <w:lang w:eastAsia="zh-CN"/>
                    </w:rPr>
                    <w:t>□核心能力4</w:t>
                  </w:r>
                  <w:r w:rsidRPr="00401790">
                    <w:rPr>
                      <w:rFonts w:ascii="宋体" w:eastAsia="宋体" w:hAnsi="宋体" w:cs="Arial"/>
                      <w:b/>
                      <w:sz w:val="21"/>
                      <w:szCs w:val="21"/>
                      <w:lang w:eastAsia="zh-CN"/>
                    </w:rPr>
                    <w:t>.</w:t>
                  </w:r>
                  <w:r w:rsidRPr="004017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t xml:space="preserve"> 具有在能源动力类企业的初步工程实践经验，了解能源与动力工程技术的发展趋势，及时掌握并应用相关新技术为社会服务，成为具备创新精神和创新能力，善于解决实际问题的工程技术人才。</w:t>
                  </w:r>
                  <w:r w:rsidRPr="00401790">
                    <w:rPr>
                      <w:rFonts w:ascii="宋体" w:eastAsia="宋体" w:hAnsi="宋体" w:cs="Arial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</w:tc>
            </w:tr>
          </w:tbl>
          <w:p w:rsidR="005818DD" w:rsidRDefault="005818DD">
            <w:pPr>
              <w:rPr>
                <w:lang w:eastAsia="zh-CN"/>
              </w:rPr>
            </w:pP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885" w:type="dxa"/>
            <w:gridSpan w:val="3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899" w:type="dxa"/>
            <w:tcMar>
              <w:left w:w="28" w:type="dxa"/>
              <w:right w:w="28" w:type="dxa"/>
            </w:tcMar>
            <w:vAlign w:val="center"/>
          </w:tcPr>
          <w:p w:rsidR="007453CB" w:rsidRDefault="007453CB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第一部分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随机事件和概率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难点：条件概率，概率的基本公式，事件的独立性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P25-26 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1.2,1.8,1.10,1.11,1.13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1.11,1.19,1.24, 1.25</w:t>
            </w:r>
          </w:p>
        </w:tc>
      </w:tr>
      <w:tr w:rsidR="007453CB" w:rsidTr="00CC1440">
        <w:trPr>
          <w:trHeight w:val="4811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第二部分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随机变量及其分布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理解随机变量的概念，理解分布函数的概念及性质，会计算与随机变量相联系的事件的概率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理解离散型随机变量及其概率分布的概念，掌握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0-1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分布、二项分布、几何分布、超几何分布、泊松（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Poisson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）分布及其应用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了解泊松定理的结论和应用条件，会用泊松分布近似表示二项分布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4.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理解连续型随机变量及其概率密度的概念，掌握均匀分布、正态分布、指数分布及其应用</w:t>
            </w:r>
          </w:p>
          <w:p w:rsidR="007453CB" w:rsidRPr="00AC3473" w:rsidRDefault="007453CB">
            <w:pPr>
              <w:spacing w:after="0" w:line="240" w:lineRule="atLeast"/>
              <w:ind w:firstLine="42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5.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会求随机变量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函数的分布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难点：计算与随机变量相联系的事件的概率；二项分布、泊松（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Poisson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）分布及其应用；正态分布、指数分布及其应用；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P49-52 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2.4,2.5,2.8,2.11, 1.12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2.14,2.16,2.18, 2.20,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2.21,2.25,2.26, 2.32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第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三</w:t>
            </w:r>
            <w:proofErr w:type="spell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部分</w:t>
            </w:r>
            <w:proofErr w:type="spellEnd"/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随机向量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重点：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会求与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二维随机变量相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lastRenderedPageBreak/>
              <w:t>关事件的概率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随机变量的独立性及不相关性的概念，掌握随机变量相互独立的条件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二维正态分布的概率密度，理解其中参数的概率意义</w:t>
            </w:r>
          </w:p>
          <w:p w:rsidR="007453CB" w:rsidRPr="00AC3473" w:rsidRDefault="007453CB">
            <w:pPr>
              <w:spacing w:before="100" w:beforeAutospacing="1" w:after="100" w:afterAutospacing="1"/>
              <w:ind w:firstLine="42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4.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随机变量简单函数的分布，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会求多个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相互独立随机变量简单函数的分布</w:t>
            </w:r>
          </w:p>
          <w:p w:rsidR="007453CB" w:rsidRPr="00AC3473" w:rsidRDefault="007453CB">
            <w:pPr>
              <w:spacing w:before="100" w:beforeAutospacing="1" w:after="100" w:afterAutospacing="1"/>
              <w:ind w:firstLine="42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二维离散型随机变量的概率分布、边缘分布和条件分布，理解二维连续型随机变量的概率密度、边缘密度和条件密度；随机变量求两个随机变量简单函数的分布，求多个相互独立随机变量简单函数的分布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P82-86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3.3,3.5,3.7,3.10, 3.13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3.18,3.19,3.20, 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lastRenderedPageBreak/>
              <w:t>3.24,3.26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第四部分随机变量的数字特征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重点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随机变量数字特征（数学期望、方差、标准差、矩、协方差、相关系数）的概念，会运用数字特征的基本性质，掌握常用分布的数字特征</w:t>
            </w:r>
          </w:p>
          <w:p w:rsidR="007453CB" w:rsidRPr="00AC3473" w:rsidRDefault="007453CB">
            <w:pPr>
              <w:spacing w:after="0" w:line="240" w:lineRule="atLeast"/>
              <w:ind w:firstLine="45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切比雪夫大数定律、伯努利大数定律和辛钦大数定律（独立同分布随机变量序列的大数定律）</w:t>
            </w:r>
          </w:p>
          <w:p w:rsidR="007453CB" w:rsidRPr="00AC3473" w:rsidRDefault="007453CB">
            <w:pPr>
              <w:spacing w:after="0" w:line="240" w:lineRule="atLeast"/>
              <w:ind w:firstLine="45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P115-119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4.6,4.9,4.11,4.12,4.15,4.16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4.22,4.24,4.25, 4.27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第五部分数理统计的基本概念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　重点：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总体、简单随机样本、统计量、样本均值、样本方差及样本矩的概念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2.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了解卡方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分布、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T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分布和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F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分布的概念及性质，了解上侧分位数的概念并会查表计算</w:t>
            </w:r>
          </w:p>
          <w:p w:rsidR="007453CB" w:rsidRPr="00AC3473" w:rsidRDefault="007453CB">
            <w:pPr>
              <w:spacing w:after="0" w:line="240" w:lineRule="atLeast"/>
              <w:ind w:firstLine="42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3.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了解正态总体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的常用抽样分布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难点：统计量，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卡方分布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T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分布和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F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分布的概念及性质，上侧分位数的概念并会查表计算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P137-138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5.2,5.4,5.6,5.7, 5.10,5.12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第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六</w:t>
            </w:r>
            <w:proofErr w:type="spell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部分</w:t>
            </w:r>
            <w:proofErr w:type="spellEnd"/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参数估计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重点：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参数的点估计、估计量与估计值</w:t>
            </w:r>
          </w:p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lastRenderedPageBreak/>
              <w:t xml:space="preserve">　　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2.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矩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估计法（一阶矩、二阶矩）和最大似然估计法</w:t>
            </w:r>
          </w:p>
          <w:p w:rsidR="007453CB" w:rsidRPr="00AC3473" w:rsidRDefault="007453CB">
            <w:pPr>
              <w:spacing w:before="100" w:beforeAutospacing="1" w:after="100" w:afterAutospacing="1"/>
              <w:ind w:firstLine="42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估计量的无偏性、有效性（最小方差性）和一致性（相合性）的概念，并会验证估计量的无偏性</w:t>
            </w:r>
          </w:p>
          <w:p w:rsidR="007453CB" w:rsidRPr="00AC3473" w:rsidRDefault="007453CB">
            <w:pPr>
              <w:spacing w:before="100" w:beforeAutospacing="1" w:after="100" w:afterAutospacing="1"/>
              <w:ind w:firstLine="42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4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．理解区间估计的概念，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会求单个正态总体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的均值和方差的置信区间，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正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的均值差和方差比的置信区间</w:t>
            </w:r>
          </w:p>
          <w:p w:rsidR="007453CB" w:rsidRPr="00AC3473" w:rsidRDefault="007453CB" w:rsidP="00E65C8E">
            <w:pPr>
              <w:spacing w:before="100" w:beforeAutospacing="1" w:after="100" w:afterAutospacing="1"/>
              <w:ind w:firstLineChars="200" w:firstLine="420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矩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估计法（一阶矩、二阶矩）和最大似然估计法；区间估计的概念，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会求单个正态总体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的均值和方差的置信区间，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正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的均值差和方差比的置信区间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P164-167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6.2,6.4,6.10,6.12,6.13,6.15,6.16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lastRenderedPageBreak/>
              <w:t>, 6.20</w:t>
            </w:r>
          </w:p>
        </w:tc>
      </w:tr>
      <w:tr w:rsidR="007453CB">
        <w:trPr>
          <w:trHeight w:val="340"/>
          <w:jc w:val="center"/>
        </w:trPr>
        <w:tc>
          <w:tcPr>
            <w:tcW w:w="503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第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七</w:t>
            </w:r>
            <w:proofErr w:type="spell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部分参数估计</w:t>
            </w:r>
            <w:proofErr w:type="spellEnd"/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　　重点：</w:t>
            </w: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1.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理解显著性检验的基本思想，掌握假设检验的基本步骤，了解假设检验可能产生的两类错误</w:t>
            </w:r>
          </w:p>
          <w:p w:rsidR="007453CB" w:rsidRPr="00AC3473" w:rsidRDefault="007453CB">
            <w:pPr>
              <w:spacing w:after="0" w:line="240" w:lineRule="atLeast"/>
              <w:ind w:firstLine="45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2.</w:t>
            </w: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掌握单个及两个正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的均值和方差的假设检验</w:t>
            </w:r>
          </w:p>
          <w:p w:rsidR="007453CB" w:rsidRPr="00AC3473" w:rsidRDefault="007453CB">
            <w:pPr>
              <w:spacing w:after="0" w:line="240" w:lineRule="atLeast"/>
              <w:ind w:firstLine="45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难点：单个及两个正</w:t>
            </w:r>
            <w:proofErr w:type="gramStart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态总体</w:t>
            </w:r>
            <w:proofErr w:type="gramEnd"/>
            <w:r w:rsidRPr="00AC347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的均值和方差的假设检验</w:t>
            </w: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P186-190  </w:t>
            </w: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</w:t>
            </w:r>
          </w:p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7.3,7.5,7.8,7.13, 7.18,7.19,7.20</w:t>
            </w:r>
          </w:p>
        </w:tc>
      </w:tr>
      <w:tr w:rsidR="007453CB">
        <w:trPr>
          <w:trHeight w:val="340"/>
          <w:jc w:val="center"/>
        </w:trPr>
        <w:tc>
          <w:tcPr>
            <w:tcW w:w="1772" w:type="dxa"/>
            <w:gridSpan w:val="3"/>
            <w:vAlign w:val="center"/>
          </w:tcPr>
          <w:p w:rsidR="007453CB" w:rsidRPr="00AC3473" w:rsidRDefault="007453CB">
            <w:pPr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合计</w:t>
            </w:r>
            <w:proofErr w:type="spellEnd"/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30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885" w:type="dxa"/>
            <w:gridSpan w:val="3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7453CB" w:rsidRPr="00AC3473" w:rsidRDefault="007453CB">
            <w:pPr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453CB" w:rsidRPr="00AC3473" w:rsidRDefault="007453CB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453CB">
        <w:trPr>
          <w:trHeight w:val="340"/>
          <w:jc w:val="center"/>
        </w:trPr>
        <w:tc>
          <w:tcPr>
            <w:tcW w:w="1545" w:type="dxa"/>
            <w:gridSpan w:val="2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4330" w:type="dxa"/>
            <w:gridSpan w:val="4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3526" w:type="dxa"/>
            <w:gridSpan w:val="3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7453CB">
        <w:trPr>
          <w:trHeight w:val="340"/>
          <w:jc w:val="center"/>
        </w:trPr>
        <w:tc>
          <w:tcPr>
            <w:tcW w:w="1545" w:type="dxa"/>
            <w:gridSpan w:val="2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4330" w:type="dxa"/>
            <w:gridSpan w:val="4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</w:rPr>
              <w:t>闭卷；成绩百分制</w:t>
            </w:r>
            <w:proofErr w:type="spellEnd"/>
          </w:p>
        </w:tc>
        <w:tc>
          <w:tcPr>
            <w:tcW w:w="3526" w:type="dxa"/>
            <w:gridSpan w:val="3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70%</w:t>
            </w:r>
          </w:p>
        </w:tc>
      </w:tr>
      <w:tr w:rsidR="007453CB">
        <w:trPr>
          <w:trHeight w:val="340"/>
          <w:jc w:val="center"/>
        </w:trPr>
        <w:tc>
          <w:tcPr>
            <w:tcW w:w="1545" w:type="dxa"/>
            <w:gridSpan w:val="2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4330" w:type="dxa"/>
            <w:gridSpan w:val="4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C3473">
              <w:rPr>
                <w:rFonts w:asciiTheme="minorEastAsia" w:eastAsiaTheme="minorEastAsia" w:hAnsiTheme="minorEastAsia" w:hint="eastAsia"/>
              </w:rPr>
              <w:t>方式由任课教师安排</w:t>
            </w:r>
            <w:proofErr w:type="spellEnd"/>
          </w:p>
        </w:tc>
        <w:tc>
          <w:tcPr>
            <w:tcW w:w="3526" w:type="dxa"/>
            <w:gridSpan w:val="3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10%</w:t>
            </w:r>
          </w:p>
        </w:tc>
      </w:tr>
      <w:tr w:rsidR="007453CB">
        <w:trPr>
          <w:trHeight w:val="340"/>
          <w:jc w:val="center"/>
        </w:trPr>
        <w:tc>
          <w:tcPr>
            <w:tcW w:w="1545" w:type="dxa"/>
            <w:gridSpan w:val="2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  <w:tc>
          <w:tcPr>
            <w:tcW w:w="4330" w:type="dxa"/>
            <w:gridSpan w:val="4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分A 、B、 C三级；缺交一次扣2分，最多扣10分</w:t>
            </w:r>
          </w:p>
        </w:tc>
        <w:tc>
          <w:tcPr>
            <w:tcW w:w="3526" w:type="dxa"/>
            <w:gridSpan w:val="3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7453CB"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0%</w:t>
            </w:r>
          </w:p>
        </w:tc>
      </w:tr>
      <w:tr w:rsidR="007453CB">
        <w:trPr>
          <w:trHeight w:val="340"/>
          <w:jc w:val="center"/>
        </w:trPr>
        <w:tc>
          <w:tcPr>
            <w:tcW w:w="1545" w:type="dxa"/>
            <w:gridSpan w:val="2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    勤</w:t>
            </w:r>
          </w:p>
        </w:tc>
        <w:tc>
          <w:tcPr>
            <w:tcW w:w="4330" w:type="dxa"/>
            <w:gridSpan w:val="4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考勤不低于五次，缺勤迟到一次扣2分，最多扣10分</w:t>
            </w:r>
          </w:p>
        </w:tc>
        <w:tc>
          <w:tcPr>
            <w:tcW w:w="3526" w:type="dxa"/>
            <w:gridSpan w:val="3"/>
            <w:vAlign w:val="center"/>
          </w:tcPr>
          <w:p w:rsidR="007453CB" w:rsidRPr="00AC3473" w:rsidRDefault="00AC3473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AC347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0%</w:t>
            </w:r>
          </w:p>
        </w:tc>
      </w:tr>
      <w:tr w:rsidR="007453CB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453CB" w:rsidRPr="00AC3473" w:rsidRDefault="007453CB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AC3473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2017</w:t>
            </w:r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年</w:t>
            </w:r>
            <w:r w:rsidRPr="00AC3473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9</w:t>
            </w:r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月</w:t>
            </w:r>
            <w:r w:rsidRPr="00AC3473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1</w:t>
            </w:r>
            <w:r w:rsidRPr="00AC347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7453CB" w:rsidTr="00E65C8E">
        <w:trPr>
          <w:trHeight w:val="2305"/>
          <w:jc w:val="center"/>
        </w:trPr>
        <w:tc>
          <w:tcPr>
            <w:tcW w:w="9401" w:type="dxa"/>
            <w:gridSpan w:val="9"/>
          </w:tcPr>
          <w:p w:rsidR="007453CB" w:rsidRDefault="007453CB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7453CB" w:rsidRDefault="007453CB" w:rsidP="00E65C8E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453CB" w:rsidRDefault="007453CB" w:rsidP="00E65C8E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453CB" w:rsidRDefault="007453CB" w:rsidP="00E65C8E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7453CB" w:rsidRDefault="007453CB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453CB" w:rsidRDefault="007453CB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453CB" w:rsidRDefault="007453CB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7453CB" w:rsidRDefault="007453CB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7453CB" w:rsidRDefault="007453CB" w:rsidP="00E65C8E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bCs/>
          <w:sz w:val="21"/>
          <w:szCs w:val="21"/>
          <w:lang w:eastAsia="zh-CN"/>
        </w:rPr>
        <w:lastRenderedPageBreak/>
        <w:t>注：</w:t>
      </w:r>
      <w:r>
        <w:rPr>
          <w:rFonts w:ascii="宋体" w:eastAsia="宋体" w:hAnsi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7453CB" w:rsidRDefault="007453CB" w:rsidP="00E65C8E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7453CB" w:rsidRDefault="007453CB" w:rsidP="00E65C8E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453CB" w:rsidRDefault="007453CB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453CB" w:rsidSect="008655E2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32" w:rsidRDefault="00983E32" w:rsidP="00E65C8E">
      <w:pPr>
        <w:spacing w:after="0"/>
      </w:pPr>
      <w:r>
        <w:separator/>
      </w:r>
    </w:p>
  </w:endnote>
  <w:endnote w:type="continuationSeparator" w:id="1">
    <w:p w:rsidR="00983E32" w:rsidRDefault="00983E32" w:rsidP="00E65C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32" w:rsidRDefault="00983E32" w:rsidP="00E65C8E">
      <w:pPr>
        <w:spacing w:after="0"/>
      </w:pPr>
      <w:r>
        <w:separator/>
      </w:r>
    </w:p>
  </w:footnote>
  <w:footnote w:type="continuationSeparator" w:id="1">
    <w:p w:rsidR="00983E32" w:rsidRDefault="00983E32" w:rsidP="00E65C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23799B"/>
    <w:rsid w:val="00004C6F"/>
    <w:rsid w:val="0006698D"/>
    <w:rsid w:val="00087B74"/>
    <w:rsid w:val="000B626E"/>
    <w:rsid w:val="000E0AE8"/>
    <w:rsid w:val="001025E5"/>
    <w:rsid w:val="00104BBB"/>
    <w:rsid w:val="00155E5A"/>
    <w:rsid w:val="00171228"/>
    <w:rsid w:val="001B31E9"/>
    <w:rsid w:val="001B5406"/>
    <w:rsid w:val="001D28E8"/>
    <w:rsid w:val="001F20BC"/>
    <w:rsid w:val="002123B5"/>
    <w:rsid w:val="00227119"/>
    <w:rsid w:val="00252EA1"/>
    <w:rsid w:val="00271F37"/>
    <w:rsid w:val="002E27E1"/>
    <w:rsid w:val="002F168E"/>
    <w:rsid w:val="003044FA"/>
    <w:rsid w:val="003076E4"/>
    <w:rsid w:val="003078A9"/>
    <w:rsid w:val="00315996"/>
    <w:rsid w:val="00317B04"/>
    <w:rsid w:val="003629F2"/>
    <w:rsid w:val="0037561C"/>
    <w:rsid w:val="00380BEE"/>
    <w:rsid w:val="003C66D8"/>
    <w:rsid w:val="003E66A6"/>
    <w:rsid w:val="00457E42"/>
    <w:rsid w:val="004B3994"/>
    <w:rsid w:val="004C7386"/>
    <w:rsid w:val="004E0481"/>
    <w:rsid w:val="004E73D0"/>
    <w:rsid w:val="004E7804"/>
    <w:rsid w:val="00532824"/>
    <w:rsid w:val="0054311E"/>
    <w:rsid w:val="0056198E"/>
    <w:rsid w:val="005639AB"/>
    <w:rsid w:val="005818DD"/>
    <w:rsid w:val="00584D29"/>
    <w:rsid w:val="005F174F"/>
    <w:rsid w:val="0065651C"/>
    <w:rsid w:val="00670876"/>
    <w:rsid w:val="00677B61"/>
    <w:rsid w:val="006A471C"/>
    <w:rsid w:val="006C3229"/>
    <w:rsid w:val="006C7965"/>
    <w:rsid w:val="00707B60"/>
    <w:rsid w:val="00735FDE"/>
    <w:rsid w:val="007453CB"/>
    <w:rsid w:val="00770F0D"/>
    <w:rsid w:val="00776AF2"/>
    <w:rsid w:val="0078167D"/>
    <w:rsid w:val="00785779"/>
    <w:rsid w:val="007B09B2"/>
    <w:rsid w:val="008147FF"/>
    <w:rsid w:val="00815F78"/>
    <w:rsid w:val="0082520B"/>
    <w:rsid w:val="008512DF"/>
    <w:rsid w:val="00855020"/>
    <w:rsid w:val="00862AD5"/>
    <w:rsid w:val="008655E2"/>
    <w:rsid w:val="0087107C"/>
    <w:rsid w:val="00885EED"/>
    <w:rsid w:val="00892ADC"/>
    <w:rsid w:val="00896971"/>
    <w:rsid w:val="00917C66"/>
    <w:rsid w:val="00932AF2"/>
    <w:rsid w:val="00950216"/>
    <w:rsid w:val="009640C5"/>
    <w:rsid w:val="00983E32"/>
    <w:rsid w:val="009A2B5C"/>
    <w:rsid w:val="009B20BC"/>
    <w:rsid w:val="009B3EAE"/>
    <w:rsid w:val="009D3079"/>
    <w:rsid w:val="009F135F"/>
    <w:rsid w:val="00A10D55"/>
    <w:rsid w:val="00A61899"/>
    <w:rsid w:val="00A767BB"/>
    <w:rsid w:val="00A84D68"/>
    <w:rsid w:val="00A85774"/>
    <w:rsid w:val="00AA199F"/>
    <w:rsid w:val="00AC3473"/>
    <w:rsid w:val="00AC706E"/>
    <w:rsid w:val="00AE48DD"/>
    <w:rsid w:val="00B64730"/>
    <w:rsid w:val="00B90B7A"/>
    <w:rsid w:val="00BB35F5"/>
    <w:rsid w:val="00BD4BE7"/>
    <w:rsid w:val="00BF4D89"/>
    <w:rsid w:val="00C0514E"/>
    <w:rsid w:val="00C3524D"/>
    <w:rsid w:val="00C41D05"/>
    <w:rsid w:val="00C705DD"/>
    <w:rsid w:val="00C76FA2"/>
    <w:rsid w:val="00C94A9C"/>
    <w:rsid w:val="00CA1AB8"/>
    <w:rsid w:val="00CC1440"/>
    <w:rsid w:val="00CC4A46"/>
    <w:rsid w:val="00CD2F8F"/>
    <w:rsid w:val="00D45246"/>
    <w:rsid w:val="00D60327"/>
    <w:rsid w:val="00DB45CF"/>
    <w:rsid w:val="00DB5724"/>
    <w:rsid w:val="00DB79D0"/>
    <w:rsid w:val="00DD60CC"/>
    <w:rsid w:val="00DF12B7"/>
    <w:rsid w:val="00DF5C03"/>
    <w:rsid w:val="00E0505F"/>
    <w:rsid w:val="00E24DF2"/>
    <w:rsid w:val="00E413E8"/>
    <w:rsid w:val="00E53E23"/>
    <w:rsid w:val="00E61259"/>
    <w:rsid w:val="00E65C8E"/>
    <w:rsid w:val="00ED3FCA"/>
    <w:rsid w:val="00EF6C97"/>
    <w:rsid w:val="00F31667"/>
    <w:rsid w:val="00F617C2"/>
    <w:rsid w:val="00F73DB3"/>
    <w:rsid w:val="00F96D96"/>
    <w:rsid w:val="00FE22C8"/>
    <w:rsid w:val="28AD1D92"/>
    <w:rsid w:val="2C23799B"/>
    <w:rsid w:val="62602DFF"/>
    <w:rsid w:val="7E9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E2"/>
    <w:pPr>
      <w:spacing w:after="120"/>
      <w:jc w:val="both"/>
    </w:pPr>
    <w:rPr>
      <w:rFonts w:eastAsia="PMingLiUfalt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8655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8655E2"/>
    <w:rPr>
      <w:rFonts w:eastAsia="PMingLiUfalt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86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655E2"/>
    <w:rPr>
      <w:rFonts w:eastAsia="PMingLiUfalt" w:cs="Times New Roman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rsid w:val="0086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655E2"/>
    <w:rPr>
      <w:rFonts w:eastAsia="PMingLiUfalt" w:cs="Times New Roman"/>
      <w:sz w:val="18"/>
      <w:szCs w:val="18"/>
      <w:lang w:eastAsia="en-US"/>
    </w:rPr>
  </w:style>
  <w:style w:type="table" w:styleId="a6">
    <w:name w:val="Table Grid"/>
    <w:basedOn w:val="a1"/>
    <w:uiPriority w:val="99"/>
    <w:rsid w:val="008655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8655E2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uiPriority w:val="99"/>
    <w:rsid w:val="008655E2"/>
    <w:rPr>
      <w:rFonts w:ascii="CIDFont + F2" w:hAnsi="CIDFont + F2" w:cs="CIDFont + F2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865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2830</Words>
  <Characters>816</Characters>
  <Application>Microsoft Office Word</Application>
  <DocSecurity>0</DocSecurity>
  <Lines>6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《******》课程教学大纲</dc:title>
  <dc:subject/>
  <dc:creator>lenovo</dc:creator>
  <cp:keywords/>
  <dc:description/>
  <cp:lastModifiedBy>agverwa</cp:lastModifiedBy>
  <cp:revision>6</cp:revision>
  <cp:lastPrinted>2017-01-05T16:24:00Z</cp:lastPrinted>
  <dcterms:created xsi:type="dcterms:W3CDTF">2017-03-15T15:35:00Z</dcterms:created>
  <dcterms:modified xsi:type="dcterms:W3CDTF">2017-09-13T02:49:00Z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